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151043">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r w:rsidR="00151043">
        <w:rPr>
          <w:rFonts w:ascii="Times New Roman" w:hAnsi="Times New Roman"/>
          <w:sz w:val="24"/>
          <w:szCs w:val="24"/>
          <w:lang w:eastAsia="tr-TR"/>
        </w:rPr>
        <w:t xml:space="preserve"> </w:t>
      </w:r>
      <w:r w:rsidR="00D82BA5"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lastRenderedPageBreak/>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sayılır, basım hatası ve benzeri 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l</w:t>
      </w:r>
      <w:r w:rsidRPr="00D33CC8">
        <w:rPr>
          <w:rFonts w:ascii="Times New Roman" w:hAnsi="Times New Roman"/>
          <w:sz w:val="24"/>
          <w:szCs w:val="24"/>
          <w:lang w:eastAsia="tr-TR"/>
        </w:rPr>
        <w:t xml:space="preserve">) Aday tarafından cevap kâğıdına yazılması ya da işaretlenmesi gereken bilgilerde eksiklik ya da yanlışlık olması durumunda sorumluluk adaya aittir. Ancak örgün eğitim </w:t>
      </w:r>
      <w:r w:rsidRPr="00D33CC8">
        <w:rPr>
          <w:rFonts w:ascii="Times New Roman" w:hAnsi="Times New Roman"/>
          <w:sz w:val="24"/>
          <w:szCs w:val="24"/>
          <w:lang w:eastAsia="tr-TR"/>
        </w:rPr>
        <w:lastRenderedPageBreak/>
        <w:t>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sınava </w:t>
      </w:r>
      <w:r w:rsidRPr="00D33CC8">
        <w:rPr>
          <w:rFonts w:ascii="Times New Roman" w:eastAsia="Times New Roman" w:hAnsi="Times New Roman"/>
          <w:sz w:val="24"/>
          <w:szCs w:val="24"/>
          <w:lang w:eastAsia="tr-TR"/>
        </w:rPr>
        <w:lastRenderedPageBreak/>
        <w:t>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(3) Kurum ve kuruluşlarla yapılan protokollü sınavların Genel Müdürlükçe belirlenen bir salonda yapılması hâlinde bölge sınav yürütme komisyonu oluşturulmaz. Bölge sınav </w:t>
      </w:r>
      <w:r w:rsidRPr="00D33CC8">
        <w:rPr>
          <w:rFonts w:ascii="Times New Roman" w:hAnsi="Times New Roman"/>
          <w:sz w:val="24"/>
          <w:szCs w:val="24"/>
          <w:lang w:eastAsia="tr-TR"/>
        </w:rPr>
        <w:lastRenderedPageBreak/>
        <w:t xml:space="preserve">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 xml:space="preserve">binalara alınması ve sınav evrakının sınavdan sonra aynı yolla Genel </w:t>
      </w:r>
      <w:r w:rsidRPr="00E9348C">
        <w:rPr>
          <w:rFonts w:ascii="Times New Roman" w:hAnsi="Times New Roman"/>
          <w:sz w:val="24"/>
          <w:szCs w:val="24"/>
        </w:rPr>
        <w:lastRenderedPageBreak/>
        <w:t>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 xml:space="preserve">çantalarının güvenlik kilitlerini kontrol ederek tutanakla teslim alır ve sınava kadar </w:t>
      </w:r>
      <w:r w:rsidRPr="00E9348C">
        <w:rPr>
          <w:rFonts w:ascii="Times New Roman" w:hAnsi="Times New Roman"/>
          <w:sz w:val="24"/>
          <w:szCs w:val="24"/>
          <w:lang w:eastAsia="tr-TR"/>
        </w:rPr>
        <w:lastRenderedPageBreak/>
        <w:t>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lastRenderedPageBreak/>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lastRenderedPageBreak/>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lastRenderedPageBreak/>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lastRenderedPageBreak/>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lastRenderedPageBreak/>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14" w:rsidRDefault="00985E14" w:rsidP="00E51E3B">
      <w:pPr>
        <w:spacing w:after="0" w:line="240" w:lineRule="auto"/>
      </w:pPr>
      <w:r>
        <w:separator/>
      </w:r>
    </w:p>
  </w:endnote>
  <w:endnote w:type="continuationSeparator" w:id="0">
    <w:p w:rsidR="00985E14" w:rsidRDefault="00985E14"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2C4D5D" w:rsidRPr="002C4D5D">
          <w:rPr>
            <w:noProof/>
            <w:lang w:val="tr-TR"/>
          </w:rPr>
          <w:t>2</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14" w:rsidRDefault="00985E14" w:rsidP="00E51E3B">
      <w:pPr>
        <w:spacing w:after="0" w:line="240" w:lineRule="auto"/>
      </w:pPr>
      <w:r>
        <w:separator/>
      </w:r>
    </w:p>
  </w:footnote>
  <w:footnote w:type="continuationSeparator" w:id="0">
    <w:p w:rsidR="00985E14" w:rsidRDefault="00985E14"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6"/>
    <w:rsid w:val="0002563C"/>
    <w:rsid w:val="00072BFB"/>
    <w:rsid w:val="000F6860"/>
    <w:rsid w:val="00107939"/>
    <w:rsid w:val="00151043"/>
    <w:rsid w:val="001A62C8"/>
    <w:rsid w:val="001B654A"/>
    <w:rsid w:val="001F6C9B"/>
    <w:rsid w:val="002A4131"/>
    <w:rsid w:val="002C4D5D"/>
    <w:rsid w:val="0033136E"/>
    <w:rsid w:val="003607E2"/>
    <w:rsid w:val="003B23CF"/>
    <w:rsid w:val="003C7E48"/>
    <w:rsid w:val="00453DCC"/>
    <w:rsid w:val="0053437F"/>
    <w:rsid w:val="0054224E"/>
    <w:rsid w:val="005C3129"/>
    <w:rsid w:val="005D282E"/>
    <w:rsid w:val="005F0076"/>
    <w:rsid w:val="006235F0"/>
    <w:rsid w:val="00647E76"/>
    <w:rsid w:val="00655DA9"/>
    <w:rsid w:val="00741E9E"/>
    <w:rsid w:val="00754D32"/>
    <w:rsid w:val="007B57BE"/>
    <w:rsid w:val="00855BF4"/>
    <w:rsid w:val="008B1F3D"/>
    <w:rsid w:val="008B4F37"/>
    <w:rsid w:val="009632C4"/>
    <w:rsid w:val="00985E14"/>
    <w:rsid w:val="00986156"/>
    <w:rsid w:val="009C186E"/>
    <w:rsid w:val="00A10F7D"/>
    <w:rsid w:val="00A74E6F"/>
    <w:rsid w:val="00A926D5"/>
    <w:rsid w:val="00AD53CE"/>
    <w:rsid w:val="00BA19FC"/>
    <w:rsid w:val="00BB4FDA"/>
    <w:rsid w:val="00BE2A6B"/>
    <w:rsid w:val="00BE40AE"/>
    <w:rsid w:val="00BF49BA"/>
    <w:rsid w:val="00C33249"/>
    <w:rsid w:val="00C67180"/>
    <w:rsid w:val="00C94A96"/>
    <w:rsid w:val="00CE16FC"/>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888DF-D8EB-4E87-A36B-5F7CCF1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Sukru ENGIN</dc:creator>
  <cp:keywords/>
  <dc:description/>
  <cp:lastModifiedBy>Meka Bilgisayar</cp:lastModifiedBy>
  <cp:revision>2</cp:revision>
  <dcterms:created xsi:type="dcterms:W3CDTF">2016-08-23T11:25:00Z</dcterms:created>
  <dcterms:modified xsi:type="dcterms:W3CDTF">2016-08-23T11:25:00Z</dcterms:modified>
</cp:coreProperties>
</file>